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1F01CD">
        <w:rPr>
          <w:sz w:val="28"/>
        </w:rPr>
        <w:t>803</w:t>
      </w:r>
      <w:r>
        <w:rPr>
          <w:sz w:val="28"/>
        </w:rPr>
        <w:t>-2201/202</w:t>
      </w:r>
      <w:r w:rsidR="0011110E">
        <w:rPr>
          <w:sz w:val="28"/>
        </w:rPr>
        <w:t>5</w:t>
      </w:r>
    </w:p>
    <w:p w:rsidR="00A3304A" w:rsidRPr="008C7E77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8C7E77" w:rsidR="008C7E77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 xml:space="preserve">г. </w:t>
      </w:r>
      <w:r>
        <w:rPr>
          <w:sz w:val="28"/>
        </w:rPr>
        <w:t>Нягань</w:t>
      </w:r>
      <w:r>
        <w:rPr>
          <w:sz w:val="28"/>
        </w:rPr>
        <w:t xml:space="preserve">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</w:t>
      </w:r>
      <w:r w:rsidR="00EE3F32">
        <w:rPr>
          <w:sz w:val="28"/>
        </w:rPr>
        <w:t xml:space="preserve">   </w:t>
      </w:r>
      <w:r w:rsidR="00031131">
        <w:rPr>
          <w:sz w:val="28"/>
        </w:rPr>
        <w:t xml:space="preserve">                 </w:t>
      </w:r>
      <w:r w:rsidR="004B6932">
        <w:rPr>
          <w:sz w:val="28"/>
        </w:rPr>
        <w:t xml:space="preserve"> </w:t>
      </w:r>
      <w:r w:rsidR="001F01CD">
        <w:rPr>
          <w:sz w:val="28"/>
        </w:rPr>
        <w:t>15 июля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 – Югры </w:t>
      </w:r>
      <w:r>
        <w:rPr>
          <w:sz w:val="28"/>
        </w:rPr>
        <w:t>Л.Г.Волкова</w:t>
      </w:r>
      <w:r>
        <w:rPr>
          <w:sz w:val="28"/>
        </w:rPr>
        <w:t xml:space="preserve">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8C7E77" w:rsidR="008C7E77">
        <w:rPr>
          <w:rFonts w:ascii="Times New Roman" w:hAnsi="Times New Roman"/>
          <w:sz w:val="28"/>
        </w:rPr>
        <w:t>Вахитова</w:t>
      </w:r>
      <w:r w:rsidRPr="008C7E77" w:rsidR="008C7E77">
        <w:rPr>
          <w:rFonts w:ascii="Times New Roman" w:hAnsi="Times New Roman"/>
          <w:sz w:val="28"/>
        </w:rPr>
        <w:t xml:space="preserve"> Антона Рафаиловича, * года рождения, уроженца *, гражданина Российской Федерации, *, работающего *, проживающего по адресу: 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1F01CD" w:rsidR="001F01CD">
        <w:rPr>
          <w:spacing w:val="-2"/>
          <w:sz w:val="28"/>
          <w:szCs w:val="28"/>
        </w:rPr>
        <w:t>Вахитов</w:t>
      </w:r>
      <w:r w:rsidRPr="001F01CD" w:rsidR="001F01CD">
        <w:rPr>
          <w:spacing w:val="-2"/>
          <w:sz w:val="28"/>
          <w:szCs w:val="28"/>
        </w:rPr>
        <w:t xml:space="preserve"> А.Р., являясь должностным лицом – </w:t>
      </w:r>
      <w:r w:rsidR="008C7E77">
        <w:rPr>
          <w:spacing w:val="-2"/>
          <w:sz w:val="28"/>
          <w:szCs w:val="28"/>
        </w:rPr>
        <w:t>*</w:t>
      </w:r>
      <w:r w:rsidRPr="001F01CD" w:rsidR="001F01CD">
        <w:rPr>
          <w:spacing w:val="-2"/>
          <w:sz w:val="28"/>
          <w:szCs w:val="28"/>
        </w:rPr>
        <w:t xml:space="preserve">, расположенного по адресу: ХМАО-Югра, </w:t>
      </w:r>
      <w:r w:rsidRPr="008C7E77" w:rsidR="008C7E77">
        <w:rPr>
          <w:spacing w:val="-2"/>
          <w:sz w:val="28"/>
          <w:szCs w:val="28"/>
        </w:rPr>
        <w:t>*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01758C" w:rsidRPr="0001758C" w:rsidP="0001758C">
      <w:pPr>
        <w:pStyle w:val="NoSpacing"/>
        <w:ind w:firstLine="708"/>
        <w:jc w:val="both"/>
        <w:rPr>
          <w:sz w:val="28"/>
        </w:rPr>
      </w:pPr>
      <w:r w:rsidRPr="001F01CD">
        <w:rPr>
          <w:sz w:val="28"/>
        </w:rPr>
        <w:t xml:space="preserve">Должностное лицо </w:t>
      </w:r>
      <w:r w:rsidRPr="001F01CD">
        <w:rPr>
          <w:sz w:val="28"/>
        </w:rPr>
        <w:t>Вахитов</w:t>
      </w:r>
      <w:r w:rsidRPr="001F01CD">
        <w:rPr>
          <w:sz w:val="28"/>
        </w:rPr>
        <w:t xml:space="preserve"> А.Р., извещенный надлежащим образом, на рассмотрение дела об административном правонарушении не явился, телефонограммой, направленной в адрес суда, просил рассмотреть дело в его отсутствие</w:t>
      </w:r>
      <w:r w:rsidRPr="0001758C">
        <w:rPr>
          <w:sz w:val="28"/>
        </w:rPr>
        <w:t>.</w:t>
      </w:r>
    </w:p>
    <w:p w:rsidR="004B6932" w:rsidP="0001758C">
      <w:pPr>
        <w:pStyle w:val="NoSpacing"/>
        <w:ind w:firstLine="708"/>
        <w:jc w:val="both"/>
        <w:rPr>
          <w:sz w:val="28"/>
        </w:rPr>
      </w:pPr>
      <w:r w:rsidRPr="0001758C"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1F01CD">
        <w:rPr>
          <w:sz w:val="28"/>
        </w:rPr>
        <w:t>Вахитова</w:t>
      </w:r>
      <w:r w:rsidR="001F01CD">
        <w:rPr>
          <w:sz w:val="28"/>
        </w:rPr>
        <w:t xml:space="preserve"> А.Р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1F01CD">
        <w:rPr>
          <w:sz w:val="28"/>
        </w:rPr>
        <w:t>Вахитова</w:t>
      </w:r>
      <w:r w:rsidR="001F01CD">
        <w:rPr>
          <w:sz w:val="28"/>
        </w:rPr>
        <w:t xml:space="preserve"> А.Р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</w:t>
      </w:r>
      <w:r>
        <w:rPr>
          <w:sz w:val="28"/>
        </w:rPr>
        <w:t>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</w:t>
      </w:r>
      <w:r w:rsidR="001F01CD">
        <w:rPr>
          <w:sz w:val="28"/>
        </w:rPr>
        <w:t xml:space="preserve"> </w:t>
      </w:r>
      <w:r w:rsidR="008C7E77">
        <w:rPr>
          <w:spacing w:val="-2"/>
          <w:sz w:val="28"/>
          <w:szCs w:val="28"/>
        </w:rPr>
        <w:t>*</w:t>
      </w:r>
      <w:r w:rsidR="009E0A86">
        <w:rPr>
          <w:sz w:val="28"/>
        </w:rPr>
        <w:t xml:space="preserve"> </w:t>
      </w:r>
      <w:r w:rsidR="001F01CD">
        <w:rPr>
          <w:sz w:val="28"/>
        </w:rPr>
        <w:t>Вахитовым</w:t>
      </w:r>
      <w:r w:rsidR="001F01CD">
        <w:rPr>
          <w:sz w:val="28"/>
        </w:rPr>
        <w:t xml:space="preserve"> А.Р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1F01CD">
        <w:rPr>
          <w:sz w:val="28"/>
        </w:rPr>
        <w:t>Вахитов</w:t>
      </w:r>
      <w:r w:rsidR="001F01CD">
        <w:rPr>
          <w:sz w:val="28"/>
        </w:rPr>
        <w:t xml:space="preserve"> А.Р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1F01CD">
        <w:rPr>
          <w:sz w:val="28"/>
        </w:rPr>
        <w:t>Вахитова</w:t>
      </w:r>
      <w:r w:rsidR="001F01CD">
        <w:rPr>
          <w:sz w:val="28"/>
        </w:rPr>
        <w:t xml:space="preserve"> А.Р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8C7E77">
        <w:rPr>
          <w:sz w:val="28"/>
          <w:lang w:val="en-US"/>
        </w:rPr>
        <w:t>*</w:t>
      </w:r>
      <w:r w:rsidR="00382725">
        <w:rPr>
          <w:sz w:val="28"/>
        </w:rPr>
        <w:t xml:space="preserve"> от </w:t>
      </w:r>
      <w:r w:rsidR="00EC6611">
        <w:rPr>
          <w:sz w:val="28"/>
        </w:rPr>
        <w:t xml:space="preserve">                         </w:t>
      </w:r>
      <w:r w:rsidR="001F01CD">
        <w:rPr>
          <w:sz w:val="28"/>
        </w:rPr>
        <w:t>30</w:t>
      </w:r>
      <w:r w:rsidR="00DE1575">
        <w:rPr>
          <w:sz w:val="28"/>
        </w:rPr>
        <w:t xml:space="preserve"> июня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8C7E77">
        <w:rPr>
          <w:spacing w:val="-2"/>
          <w:sz w:val="28"/>
          <w:szCs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8C7E77">
        <w:rPr>
          <w:sz w:val="28"/>
        </w:rPr>
        <w:t>*</w:t>
      </w:r>
      <w:r>
        <w:rPr>
          <w:sz w:val="28"/>
        </w:rPr>
        <w:t xml:space="preserve"> является </w:t>
      </w:r>
      <w:r w:rsidR="001F01CD">
        <w:rPr>
          <w:sz w:val="28"/>
        </w:rPr>
        <w:t>Вахитов</w:t>
      </w:r>
      <w:r w:rsidR="001F01CD">
        <w:rPr>
          <w:sz w:val="28"/>
        </w:rPr>
        <w:t xml:space="preserve"> А.Р</w:t>
      </w:r>
      <w:r>
        <w:rPr>
          <w:sz w:val="28"/>
        </w:rPr>
        <w:t xml:space="preserve">. Соответственно, </w:t>
      </w:r>
      <w:r w:rsidR="001F01CD">
        <w:rPr>
          <w:sz w:val="28"/>
        </w:rPr>
        <w:t>Вахитов</w:t>
      </w:r>
      <w:r w:rsidR="001F01CD">
        <w:rPr>
          <w:sz w:val="28"/>
        </w:rPr>
        <w:t xml:space="preserve"> А.Р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1F01CD">
        <w:rPr>
          <w:sz w:val="28"/>
        </w:rPr>
        <w:t>Вахитова</w:t>
      </w:r>
      <w:r w:rsidR="001F01CD">
        <w:rPr>
          <w:sz w:val="28"/>
        </w:rPr>
        <w:t xml:space="preserve"> А.Р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1F01CD">
        <w:rPr>
          <w:sz w:val="28"/>
        </w:rPr>
        <w:t>Вахитова</w:t>
      </w:r>
      <w:r w:rsidR="001F01CD">
        <w:rPr>
          <w:sz w:val="28"/>
        </w:rPr>
        <w:t xml:space="preserve"> А.Р</w:t>
      </w:r>
      <w:r>
        <w:rPr>
          <w:sz w:val="28"/>
        </w:rPr>
        <w:t xml:space="preserve"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1F01CD">
        <w:rPr>
          <w:sz w:val="28"/>
        </w:rPr>
        <w:t>Вахитову</w:t>
      </w:r>
      <w:r w:rsidR="001F01CD">
        <w:rPr>
          <w:sz w:val="28"/>
        </w:rPr>
        <w:t xml:space="preserve"> А.Р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1F01CD" w:rsidR="001F01CD">
        <w:rPr>
          <w:sz w:val="28"/>
        </w:rPr>
        <w:t>Вахитова</w:t>
      </w:r>
      <w:r w:rsidRPr="001F01CD" w:rsidR="001F01CD">
        <w:rPr>
          <w:sz w:val="28"/>
        </w:rPr>
        <w:t xml:space="preserve"> Антона Рафаиловича</w:t>
      </w:r>
      <w:r w:rsidR="001F01CD">
        <w:rPr>
          <w:sz w:val="28"/>
        </w:rPr>
        <w:t xml:space="preserve">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идентификатор</w:t>
      </w:r>
      <w:r w:rsidR="00B45440">
        <w:rPr>
          <w:sz w:val="28"/>
        </w:rPr>
        <w:t xml:space="preserve"> </w:t>
      </w:r>
      <w:r w:rsidRPr="001F01CD" w:rsidR="001F01CD">
        <w:rPr>
          <w:sz w:val="28"/>
        </w:rPr>
        <w:t>0412365400225008032515104</w:t>
      </w:r>
      <w:r w:rsidR="00B45440">
        <w:rPr>
          <w:sz w:val="28"/>
        </w:rPr>
        <w:t>.</w:t>
      </w:r>
      <w:r w:rsidR="006763B4">
        <w:rPr>
          <w:sz w:val="28"/>
        </w:rPr>
        <w:t xml:space="preserve"> 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tabs>
          <w:tab w:val="left" w:pos="2660"/>
        </w:tabs>
        <w:ind w:firstLine="720"/>
        <w:jc w:val="both"/>
        <w:rPr>
          <w:sz w:val="28"/>
        </w:rPr>
      </w:pPr>
    </w:p>
    <w:p w:rsidR="00A3304A">
      <w:pPr>
        <w:jc w:val="both"/>
      </w:pPr>
    </w:p>
    <w:sectPr w:rsidSect="00332712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C7E77">
      <w:rPr>
        <w:noProof/>
      </w:rPr>
      <w:t>4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569EA"/>
    <w:rsid w:val="00083ECD"/>
    <w:rsid w:val="000B0E4E"/>
    <w:rsid w:val="000D4993"/>
    <w:rsid w:val="0011110E"/>
    <w:rsid w:val="00190FCA"/>
    <w:rsid w:val="001F004F"/>
    <w:rsid w:val="001F01CD"/>
    <w:rsid w:val="002336C1"/>
    <w:rsid w:val="00257A79"/>
    <w:rsid w:val="0027281E"/>
    <w:rsid w:val="002C6696"/>
    <w:rsid w:val="002F1994"/>
    <w:rsid w:val="00332712"/>
    <w:rsid w:val="00382725"/>
    <w:rsid w:val="003877C4"/>
    <w:rsid w:val="00396F61"/>
    <w:rsid w:val="003C187B"/>
    <w:rsid w:val="00400F1A"/>
    <w:rsid w:val="00410762"/>
    <w:rsid w:val="0045382D"/>
    <w:rsid w:val="00463F49"/>
    <w:rsid w:val="0046627C"/>
    <w:rsid w:val="004908CE"/>
    <w:rsid w:val="004926FE"/>
    <w:rsid w:val="004B6932"/>
    <w:rsid w:val="004D2E82"/>
    <w:rsid w:val="004E238A"/>
    <w:rsid w:val="005D2AF7"/>
    <w:rsid w:val="0060315D"/>
    <w:rsid w:val="00620D6B"/>
    <w:rsid w:val="006763B4"/>
    <w:rsid w:val="006A7FC4"/>
    <w:rsid w:val="006C5B1A"/>
    <w:rsid w:val="006F2CE4"/>
    <w:rsid w:val="006F6390"/>
    <w:rsid w:val="006F6C2D"/>
    <w:rsid w:val="007427E7"/>
    <w:rsid w:val="007977A2"/>
    <w:rsid w:val="007C02E0"/>
    <w:rsid w:val="007F20E5"/>
    <w:rsid w:val="008C7E77"/>
    <w:rsid w:val="008F2307"/>
    <w:rsid w:val="0093062E"/>
    <w:rsid w:val="00933705"/>
    <w:rsid w:val="009923C4"/>
    <w:rsid w:val="009C1F0B"/>
    <w:rsid w:val="009E0A86"/>
    <w:rsid w:val="009F10AD"/>
    <w:rsid w:val="00A10CEE"/>
    <w:rsid w:val="00A3304A"/>
    <w:rsid w:val="00A56152"/>
    <w:rsid w:val="00B3025A"/>
    <w:rsid w:val="00B418FB"/>
    <w:rsid w:val="00B45440"/>
    <w:rsid w:val="00B5669A"/>
    <w:rsid w:val="00B97CBD"/>
    <w:rsid w:val="00BA3BB7"/>
    <w:rsid w:val="00BD26EE"/>
    <w:rsid w:val="00BE14E6"/>
    <w:rsid w:val="00BF0DBE"/>
    <w:rsid w:val="00C06AA0"/>
    <w:rsid w:val="00C231F9"/>
    <w:rsid w:val="00CA2927"/>
    <w:rsid w:val="00CE55E0"/>
    <w:rsid w:val="00D327EE"/>
    <w:rsid w:val="00DE1575"/>
    <w:rsid w:val="00E01303"/>
    <w:rsid w:val="00E15378"/>
    <w:rsid w:val="00EC6611"/>
    <w:rsid w:val="00ED1785"/>
    <w:rsid w:val="00EE3F32"/>
    <w:rsid w:val="00F12374"/>
    <w:rsid w:val="00F80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8D26-B436-43DC-A5B4-EFD78E5E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